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18" w:rsidRDefault="00EF7718">
      <w:pPr>
        <w:pStyle w:val="GvdeMetni"/>
        <w:spacing w:before="157"/>
        <w:jc w:val="left"/>
        <w:rPr>
          <w:sz w:val="23"/>
        </w:rPr>
      </w:pPr>
    </w:p>
    <w:p w:rsidR="00EF7718" w:rsidRPr="00BE6053" w:rsidRDefault="00BE6053">
      <w:pPr>
        <w:pStyle w:val="KonuBal"/>
        <w:rPr>
          <w:spacing w:val="-8"/>
        </w:rPr>
      </w:pPr>
      <w:r w:rsidRPr="00BE6053">
        <w:rPr>
          <w:spacing w:val="-8"/>
        </w:rPr>
        <w:t xml:space="preserve">DERS KİTALARININ GERİ DÖNÜŞÜM </w:t>
      </w:r>
      <w:r>
        <w:rPr>
          <w:spacing w:val="-8"/>
        </w:rPr>
        <w:t>SATIŞ</w:t>
      </w:r>
      <w:r w:rsidRPr="00BE6053">
        <w:rPr>
          <w:spacing w:val="-8"/>
        </w:rPr>
        <w:t xml:space="preserve"> </w:t>
      </w:r>
      <w:r>
        <w:rPr>
          <w:spacing w:val="-8"/>
        </w:rPr>
        <w:t>ŞARTNAMESİ</w:t>
      </w:r>
    </w:p>
    <w:p w:rsidR="00EF7718" w:rsidRDefault="00B00A24">
      <w:pPr>
        <w:spacing w:before="186"/>
        <w:ind w:left="912"/>
        <w:rPr>
          <w:sz w:val="21"/>
        </w:rPr>
      </w:pPr>
      <w:r>
        <w:rPr>
          <w:b/>
          <w:sz w:val="21"/>
        </w:rPr>
        <w:t>SATIŞ</w:t>
      </w:r>
      <w:r>
        <w:rPr>
          <w:b/>
          <w:spacing w:val="27"/>
          <w:sz w:val="21"/>
        </w:rPr>
        <w:t xml:space="preserve"> </w:t>
      </w:r>
      <w:r>
        <w:rPr>
          <w:b/>
          <w:sz w:val="21"/>
        </w:rPr>
        <w:t>YAPILACAK</w:t>
      </w:r>
      <w:r>
        <w:rPr>
          <w:b/>
          <w:spacing w:val="36"/>
          <w:sz w:val="21"/>
        </w:rPr>
        <w:t xml:space="preserve"> </w:t>
      </w:r>
      <w:r>
        <w:rPr>
          <w:b/>
          <w:sz w:val="21"/>
        </w:rPr>
        <w:t>TAŞINIR</w:t>
      </w:r>
      <w:r>
        <w:rPr>
          <w:b/>
          <w:spacing w:val="36"/>
          <w:sz w:val="21"/>
        </w:rPr>
        <w:t xml:space="preserve"> </w:t>
      </w:r>
      <w:r w:rsidR="00BE7F67">
        <w:rPr>
          <w:b/>
          <w:sz w:val="21"/>
        </w:rPr>
        <w:t>MALIN</w:t>
      </w:r>
      <w:r w:rsidR="00BE7F67">
        <w:rPr>
          <w:b/>
          <w:spacing w:val="30"/>
          <w:sz w:val="21"/>
        </w:rPr>
        <w:t>:</w:t>
      </w:r>
    </w:p>
    <w:p w:rsidR="00EF7718" w:rsidRDefault="00EF7718">
      <w:pPr>
        <w:pStyle w:val="GvdeMetni"/>
        <w:spacing w:before="7"/>
        <w:jc w:val="left"/>
        <w:rPr>
          <w:sz w:val="13"/>
        </w:rPr>
      </w:pPr>
    </w:p>
    <w:tbl>
      <w:tblPr>
        <w:tblStyle w:val="TableNormal"/>
        <w:tblW w:w="0" w:type="auto"/>
        <w:tblInd w:w="84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6086"/>
      </w:tblGrid>
      <w:tr w:rsidR="00EF7718">
        <w:trPr>
          <w:trHeight w:val="249"/>
        </w:trPr>
        <w:tc>
          <w:tcPr>
            <w:tcW w:w="2947" w:type="dxa"/>
          </w:tcPr>
          <w:p w:rsidR="00EF7718" w:rsidRPr="00A872B7" w:rsidRDefault="00B00A24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Ait Olduğu İdare</w:t>
            </w:r>
          </w:p>
        </w:tc>
        <w:tc>
          <w:tcPr>
            <w:tcW w:w="6086" w:type="dxa"/>
          </w:tcPr>
          <w:p w:rsidR="00EF7718" w:rsidRDefault="00B00A24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>
              <w:rPr>
                <w:sz w:val="21"/>
              </w:rPr>
              <w:t>Milli</w:t>
            </w:r>
            <w:r w:rsidRPr="00BE6053">
              <w:rPr>
                <w:sz w:val="21"/>
              </w:rPr>
              <w:t xml:space="preserve"> </w:t>
            </w:r>
            <w:r w:rsidR="00BE6053">
              <w:rPr>
                <w:sz w:val="21"/>
              </w:rPr>
              <w:t xml:space="preserve">Eğitim </w:t>
            </w:r>
            <w:r w:rsidR="00BE6053" w:rsidRPr="00BE6053">
              <w:rPr>
                <w:sz w:val="21"/>
              </w:rPr>
              <w:t>Müdü</w:t>
            </w:r>
            <w:r w:rsidRPr="00BE6053">
              <w:rPr>
                <w:sz w:val="21"/>
              </w:rPr>
              <w:t>rlüğü</w:t>
            </w:r>
          </w:p>
        </w:tc>
      </w:tr>
      <w:tr w:rsidR="00EF7718">
        <w:trPr>
          <w:trHeight w:val="258"/>
        </w:trPr>
        <w:tc>
          <w:tcPr>
            <w:tcW w:w="2947" w:type="dxa"/>
          </w:tcPr>
          <w:p w:rsidR="00EF7718" w:rsidRPr="00A872B7" w:rsidRDefault="00B00A24" w:rsidP="00BE6053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Cinsi</w:t>
            </w:r>
          </w:p>
        </w:tc>
        <w:tc>
          <w:tcPr>
            <w:tcW w:w="6086" w:type="dxa"/>
          </w:tcPr>
          <w:p w:rsidR="00EF7718" w:rsidRPr="00BE6053" w:rsidRDefault="00B00A24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 w:rsidRPr="00BE6053">
              <w:rPr>
                <w:sz w:val="21"/>
              </w:rPr>
              <w:t xml:space="preserve">Atık </w:t>
            </w:r>
            <w:proofErr w:type="gramStart"/>
            <w:r w:rsidRPr="00BE6053">
              <w:rPr>
                <w:sz w:val="21"/>
              </w:rPr>
              <w:t>Kağıt</w:t>
            </w:r>
            <w:proofErr w:type="gramEnd"/>
          </w:p>
        </w:tc>
      </w:tr>
      <w:tr w:rsidR="00EF7718">
        <w:trPr>
          <w:trHeight w:val="248"/>
        </w:trPr>
        <w:tc>
          <w:tcPr>
            <w:tcW w:w="2947" w:type="dxa"/>
          </w:tcPr>
          <w:p w:rsidR="00EF7718" w:rsidRPr="00A872B7" w:rsidRDefault="00B00A24" w:rsidP="00BE6053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Miktarı</w:t>
            </w:r>
          </w:p>
        </w:tc>
        <w:tc>
          <w:tcPr>
            <w:tcW w:w="6086" w:type="dxa"/>
          </w:tcPr>
          <w:p w:rsidR="00EF7718" w:rsidRPr="00BE6053" w:rsidRDefault="00B00A24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 w:rsidRPr="00BE6053">
              <w:rPr>
                <w:sz w:val="21"/>
              </w:rPr>
              <w:t>Tartım Sonucu Belirlenecek</w:t>
            </w:r>
          </w:p>
        </w:tc>
      </w:tr>
      <w:tr w:rsidR="00EF7718">
        <w:trPr>
          <w:trHeight w:val="253"/>
        </w:trPr>
        <w:tc>
          <w:tcPr>
            <w:tcW w:w="2947" w:type="dxa"/>
          </w:tcPr>
          <w:p w:rsidR="00EF7718" w:rsidRPr="00A872B7" w:rsidRDefault="00B00A24" w:rsidP="00BE6053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Bulunduğu yer</w:t>
            </w:r>
          </w:p>
        </w:tc>
        <w:tc>
          <w:tcPr>
            <w:tcW w:w="6086" w:type="dxa"/>
          </w:tcPr>
          <w:p w:rsidR="00EF7718" w:rsidRPr="00BE6053" w:rsidRDefault="00BE6053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 w:rsidRPr="00BE6053">
              <w:rPr>
                <w:sz w:val="21"/>
              </w:rPr>
              <w:t>Müdürlüğümüze ait 2 adet depo</w:t>
            </w:r>
          </w:p>
        </w:tc>
      </w:tr>
      <w:tr w:rsidR="00EF7718">
        <w:trPr>
          <w:trHeight w:val="249"/>
        </w:trPr>
        <w:tc>
          <w:tcPr>
            <w:tcW w:w="2947" w:type="dxa"/>
          </w:tcPr>
          <w:p w:rsidR="00EF7718" w:rsidRPr="00A872B7" w:rsidRDefault="00B00A24" w:rsidP="00BE6053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Tahmini Bedeli</w:t>
            </w:r>
          </w:p>
        </w:tc>
        <w:tc>
          <w:tcPr>
            <w:tcW w:w="6086" w:type="dxa"/>
          </w:tcPr>
          <w:p w:rsidR="00EF7718" w:rsidRDefault="00BE6053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>
              <w:rPr>
                <w:sz w:val="21"/>
              </w:rPr>
              <w:t>7,45</w:t>
            </w:r>
            <w:r w:rsidR="00B00A24" w:rsidRPr="00BE6053">
              <w:rPr>
                <w:sz w:val="21"/>
              </w:rPr>
              <w:t xml:space="preserve"> TL/KG</w:t>
            </w:r>
          </w:p>
        </w:tc>
      </w:tr>
      <w:tr w:rsidR="00EF7718">
        <w:trPr>
          <w:trHeight w:val="249"/>
        </w:trPr>
        <w:tc>
          <w:tcPr>
            <w:tcW w:w="2947" w:type="dxa"/>
          </w:tcPr>
          <w:p w:rsidR="00EF7718" w:rsidRPr="00A872B7" w:rsidRDefault="00B00A24" w:rsidP="00BE6053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Geçici Teminatı</w:t>
            </w:r>
          </w:p>
        </w:tc>
        <w:tc>
          <w:tcPr>
            <w:tcW w:w="6086" w:type="dxa"/>
          </w:tcPr>
          <w:p w:rsidR="00EF7718" w:rsidRDefault="00B00A24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 w:rsidRPr="00BE6053">
              <w:rPr>
                <w:sz w:val="21"/>
              </w:rPr>
              <w:t>Alınmayacak</w:t>
            </w:r>
          </w:p>
        </w:tc>
      </w:tr>
      <w:tr w:rsidR="00EF7718">
        <w:trPr>
          <w:trHeight w:val="253"/>
        </w:trPr>
        <w:tc>
          <w:tcPr>
            <w:tcW w:w="2947" w:type="dxa"/>
          </w:tcPr>
          <w:p w:rsidR="00EF7718" w:rsidRPr="00A872B7" w:rsidRDefault="00B00A24" w:rsidP="00BE6053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İhale Tarihi ve Günü</w:t>
            </w:r>
          </w:p>
        </w:tc>
        <w:tc>
          <w:tcPr>
            <w:tcW w:w="6086" w:type="dxa"/>
          </w:tcPr>
          <w:p w:rsidR="00EF7718" w:rsidRDefault="00BE6053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 w:rsidRPr="00BE6053">
              <w:rPr>
                <w:sz w:val="21"/>
              </w:rPr>
              <w:t>28.04.2025</w:t>
            </w:r>
            <w:r w:rsidR="00B00A24" w:rsidRPr="00BE6053">
              <w:rPr>
                <w:sz w:val="21"/>
              </w:rPr>
              <w:t xml:space="preserve"> P</w:t>
            </w:r>
            <w:r w:rsidRPr="00BE6053">
              <w:rPr>
                <w:sz w:val="21"/>
              </w:rPr>
              <w:t>azartesi</w:t>
            </w:r>
            <w:r w:rsidR="00B00A24" w:rsidRPr="00BE6053">
              <w:rPr>
                <w:sz w:val="21"/>
              </w:rPr>
              <w:t xml:space="preserve"> saat: </w:t>
            </w:r>
            <w:proofErr w:type="gramStart"/>
            <w:r w:rsidRPr="00BE6053">
              <w:rPr>
                <w:sz w:val="21"/>
              </w:rPr>
              <w:t>10:00</w:t>
            </w:r>
            <w:proofErr w:type="gramEnd"/>
          </w:p>
        </w:tc>
      </w:tr>
      <w:tr w:rsidR="00EF7718">
        <w:trPr>
          <w:trHeight w:val="253"/>
        </w:trPr>
        <w:tc>
          <w:tcPr>
            <w:tcW w:w="2947" w:type="dxa"/>
          </w:tcPr>
          <w:p w:rsidR="00EF7718" w:rsidRPr="00A872B7" w:rsidRDefault="00BE6053" w:rsidP="00BE6053">
            <w:pPr>
              <w:pStyle w:val="TableParagraph"/>
              <w:spacing w:before="29" w:line="200" w:lineRule="exact"/>
              <w:rPr>
                <w:b/>
                <w:sz w:val="21"/>
              </w:rPr>
            </w:pPr>
            <w:r w:rsidRPr="00A872B7">
              <w:rPr>
                <w:b/>
                <w:sz w:val="21"/>
              </w:rPr>
              <w:t>İ</w:t>
            </w:r>
            <w:r w:rsidR="00B00A24" w:rsidRPr="00A872B7">
              <w:rPr>
                <w:b/>
                <w:sz w:val="21"/>
              </w:rPr>
              <w:t>hale Usulü</w:t>
            </w:r>
          </w:p>
        </w:tc>
        <w:tc>
          <w:tcPr>
            <w:tcW w:w="6086" w:type="dxa"/>
          </w:tcPr>
          <w:p w:rsidR="00EF7718" w:rsidRDefault="00B00A24" w:rsidP="00BE6053">
            <w:pPr>
              <w:pStyle w:val="TableParagraph"/>
              <w:spacing w:before="29" w:line="200" w:lineRule="exact"/>
              <w:rPr>
                <w:sz w:val="21"/>
              </w:rPr>
            </w:pPr>
            <w:r>
              <w:rPr>
                <w:sz w:val="21"/>
              </w:rPr>
              <w:t>2886</w:t>
            </w:r>
            <w:r w:rsidRPr="00BE6053">
              <w:rPr>
                <w:sz w:val="21"/>
              </w:rPr>
              <w:t xml:space="preserve"> </w:t>
            </w:r>
            <w:r>
              <w:rPr>
                <w:sz w:val="21"/>
              </w:rPr>
              <w:t>Sayılı</w:t>
            </w:r>
            <w:r w:rsidRPr="00BE6053">
              <w:rPr>
                <w:sz w:val="21"/>
              </w:rPr>
              <w:t xml:space="preserve"> </w:t>
            </w:r>
            <w:r>
              <w:rPr>
                <w:sz w:val="21"/>
              </w:rPr>
              <w:t>Yasanın</w:t>
            </w:r>
            <w:r w:rsidRPr="00BE6053">
              <w:rPr>
                <w:sz w:val="21"/>
              </w:rPr>
              <w:t xml:space="preserve"> </w:t>
            </w:r>
            <w:r>
              <w:rPr>
                <w:sz w:val="21"/>
              </w:rPr>
              <w:t>51/a</w:t>
            </w:r>
            <w:r w:rsidRPr="00BE6053">
              <w:rPr>
                <w:sz w:val="21"/>
              </w:rPr>
              <w:t xml:space="preserve"> </w:t>
            </w:r>
            <w:r>
              <w:rPr>
                <w:sz w:val="21"/>
              </w:rPr>
              <w:t>maddesine</w:t>
            </w:r>
            <w:r w:rsidRPr="00BE6053">
              <w:rPr>
                <w:sz w:val="21"/>
              </w:rPr>
              <w:t xml:space="preserve"> </w:t>
            </w:r>
            <w:r>
              <w:rPr>
                <w:sz w:val="21"/>
              </w:rPr>
              <w:t>göre</w:t>
            </w:r>
            <w:r w:rsidRPr="00BE6053">
              <w:rPr>
                <w:sz w:val="21"/>
              </w:rPr>
              <w:t xml:space="preserve"> </w:t>
            </w:r>
            <w:r>
              <w:rPr>
                <w:sz w:val="21"/>
              </w:rPr>
              <w:t>Pazarlık</w:t>
            </w:r>
            <w:r w:rsidRPr="00BE6053">
              <w:rPr>
                <w:sz w:val="21"/>
              </w:rPr>
              <w:t xml:space="preserve"> </w:t>
            </w:r>
            <w:r w:rsidR="00BE6053" w:rsidRPr="00BE6053">
              <w:rPr>
                <w:sz w:val="21"/>
              </w:rPr>
              <w:t>Usulü</w:t>
            </w:r>
          </w:p>
        </w:tc>
      </w:tr>
    </w:tbl>
    <w:p w:rsidR="00EF7718" w:rsidRDefault="00B00A24">
      <w:pPr>
        <w:pStyle w:val="GvdeMetni"/>
        <w:spacing w:line="228" w:lineRule="auto"/>
        <w:ind w:left="177" w:right="82" w:firstLine="676"/>
      </w:pPr>
      <w:r w:rsidRPr="00E0534C">
        <w:rPr>
          <w:b/>
          <w:spacing w:val="-4"/>
        </w:rPr>
        <w:t>MADDE</w:t>
      </w:r>
      <w:r w:rsidRPr="00E0534C">
        <w:rPr>
          <w:b/>
          <w:spacing w:val="-3"/>
        </w:rPr>
        <w:t xml:space="preserve"> </w:t>
      </w:r>
      <w:r w:rsidRPr="00E0534C">
        <w:rPr>
          <w:b/>
          <w:spacing w:val="-4"/>
        </w:rPr>
        <w:t>l-</w:t>
      </w:r>
      <w:r>
        <w:rPr>
          <w:spacing w:val="8"/>
        </w:rPr>
        <w:t xml:space="preserve"> </w:t>
      </w:r>
      <w:r>
        <w:rPr>
          <w:spacing w:val="-4"/>
        </w:rPr>
        <w:t>Yukarıda</w:t>
      </w:r>
      <w:r>
        <w:rPr>
          <w:spacing w:val="-6"/>
        </w:rPr>
        <w:t xml:space="preserve"> </w:t>
      </w:r>
      <w:r>
        <w:rPr>
          <w:spacing w:val="-4"/>
        </w:rPr>
        <w:t>özellikleri</w:t>
      </w:r>
      <w:r>
        <w:rPr>
          <w:spacing w:val="36"/>
        </w:rPr>
        <w:t xml:space="preserve"> </w:t>
      </w:r>
      <w:r>
        <w:rPr>
          <w:spacing w:val="-4"/>
        </w:rPr>
        <w:t>belirtilen</w:t>
      </w:r>
      <w:r>
        <w:rPr>
          <w:spacing w:val="-9"/>
        </w:rPr>
        <w:t xml:space="preserve"> </w:t>
      </w:r>
      <w:r>
        <w:rPr>
          <w:spacing w:val="-4"/>
        </w:rPr>
        <w:t>taşınır</w:t>
      </w:r>
      <w:r>
        <w:rPr>
          <w:spacing w:val="-9"/>
        </w:rPr>
        <w:t xml:space="preserve"> </w:t>
      </w:r>
      <w:r>
        <w:rPr>
          <w:spacing w:val="-4"/>
        </w:rPr>
        <w:t>malın</w:t>
      </w:r>
      <w:r>
        <w:rPr>
          <w:spacing w:val="-6"/>
        </w:rPr>
        <w:t xml:space="preserve"> </w:t>
      </w:r>
      <w:r>
        <w:rPr>
          <w:spacing w:val="-4"/>
        </w:rPr>
        <w:t>satış</w:t>
      </w:r>
      <w:r>
        <w:rPr>
          <w:spacing w:val="-9"/>
        </w:rPr>
        <w:t xml:space="preserve"> </w:t>
      </w:r>
      <w:r>
        <w:rPr>
          <w:spacing w:val="-4"/>
        </w:rPr>
        <w:t>ihalesi,</w:t>
      </w:r>
      <w:r>
        <w:rPr>
          <w:spacing w:val="-6"/>
        </w:rPr>
        <w:t xml:space="preserve"> </w:t>
      </w:r>
      <w:r>
        <w:rPr>
          <w:spacing w:val="-4"/>
        </w:rPr>
        <w:t>belirlenen</w:t>
      </w:r>
      <w:r>
        <w:t xml:space="preserve"> </w:t>
      </w:r>
      <w:r>
        <w:rPr>
          <w:spacing w:val="-4"/>
        </w:rPr>
        <w:t>gün ve</w:t>
      </w:r>
      <w:r>
        <w:rPr>
          <w:spacing w:val="-10"/>
        </w:rPr>
        <w:t xml:space="preserve"> </w:t>
      </w:r>
      <w:r>
        <w:rPr>
          <w:spacing w:val="-4"/>
        </w:rPr>
        <w:t>saatte</w:t>
      </w:r>
      <w:r>
        <w:rPr>
          <w:spacing w:val="-9"/>
        </w:rPr>
        <w:t xml:space="preserve"> </w:t>
      </w:r>
      <w:r>
        <w:rPr>
          <w:spacing w:val="-4"/>
        </w:rPr>
        <w:t>Milli</w:t>
      </w:r>
      <w:r>
        <w:rPr>
          <w:spacing w:val="-9"/>
        </w:rPr>
        <w:t xml:space="preserve"> </w:t>
      </w:r>
      <w:r w:rsidR="00BE6053">
        <w:rPr>
          <w:spacing w:val="-4"/>
        </w:rPr>
        <w:t>Eğitim</w:t>
      </w:r>
      <w:r>
        <w:rPr>
          <w:spacing w:val="-9"/>
        </w:rPr>
        <w:t xml:space="preserve"> </w:t>
      </w:r>
      <w:r w:rsidR="00BE7F67">
        <w:rPr>
          <w:spacing w:val="-4"/>
        </w:rPr>
        <w:t>Müdürlüğü</w:t>
      </w:r>
      <w:r>
        <w:rPr>
          <w:spacing w:val="-4"/>
        </w:rPr>
        <w:t xml:space="preserve">nde </w:t>
      </w:r>
      <w:r w:rsidR="00BE7F67">
        <w:rPr>
          <w:spacing w:val="-2"/>
        </w:rPr>
        <w:t>olu</w:t>
      </w:r>
      <w:r>
        <w:rPr>
          <w:spacing w:val="-2"/>
        </w:rPr>
        <w:t>şturulan</w:t>
      </w:r>
      <w:r>
        <w:rPr>
          <w:spacing w:val="-4"/>
        </w:rPr>
        <w:t xml:space="preserve"> </w:t>
      </w:r>
      <w:r>
        <w:rPr>
          <w:spacing w:val="-2"/>
        </w:rPr>
        <w:t>komisyon</w:t>
      </w:r>
      <w:r>
        <w:rPr>
          <w:spacing w:val="-3"/>
        </w:rPr>
        <w:t xml:space="preserve"> </w:t>
      </w:r>
      <w:r>
        <w:rPr>
          <w:spacing w:val="-2"/>
        </w:rPr>
        <w:t>huzurunda</w:t>
      </w:r>
      <w:r>
        <w:rPr>
          <w:spacing w:val="-10"/>
        </w:rPr>
        <w:t xml:space="preserve"> </w:t>
      </w:r>
      <w:r>
        <w:rPr>
          <w:spacing w:val="-2"/>
        </w:rPr>
        <w:t>yapılacaktır.</w:t>
      </w:r>
    </w:p>
    <w:p w:rsidR="00EF7718" w:rsidRDefault="00B00A24">
      <w:pPr>
        <w:pStyle w:val="GvdeMetni"/>
        <w:spacing w:before="7" w:line="228" w:lineRule="auto"/>
        <w:ind w:left="167" w:right="62" w:firstLine="691"/>
      </w:pPr>
      <w:r w:rsidRPr="00E0534C">
        <w:rPr>
          <w:b/>
          <w:spacing w:val="-6"/>
        </w:rPr>
        <w:t>MADDE</w:t>
      </w:r>
      <w:r w:rsidRPr="00E0534C">
        <w:rPr>
          <w:b/>
          <w:spacing w:val="-8"/>
        </w:rPr>
        <w:t xml:space="preserve"> </w:t>
      </w:r>
      <w:r w:rsidRPr="00E0534C">
        <w:rPr>
          <w:b/>
          <w:spacing w:val="-6"/>
        </w:rPr>
        <w:t>2-</w:t>
      </w:r>
      <w:r>
        <w:rPr>
          <w:spacing w:val="-7"/>
        </w:rPr>
        <w:t xml:space="preserve"> </w:t>
      </w:r>
      <w:r w:rsidR="007F780B">
        <w:rPr>
          <w:spacing w:val="-7"/>
        </w:rPr>
        <w:t xml:space="preserve">  </w:t>
      </w:r>
      <w:r w:rsidRPr="00D72B9C">
        <w:rPr>
          <w:spacing w:val="-4"/>
        </w:rPr>
        <w:t xml:space="preserve">İhaleye </w:t>
      </w:r>
      <w:r w:rsidR="00BE6053" w:rsidRPr="00D72B9C">
        <w:rPr>
          <w:spacing w:val="-4"/>
        </w:rPr>
        <w:t>gir</w:t>
      </w:r>
      <w:r w:rsidRPr="00D72B9C">
        <w:rPr>
          <w:spacing w:val="-4"/>
        </w:rPr>
        <w:t>eceklerin 2886 sayılı Kanunun 5 ve 16 inci maddelerinde</w:t>
      </w:r>
      <w:r>
        <w:rPr>
          <w:spacing w:val="-4"/>
        </w:rPr>
        <w:t xml:space="preserve"> </w:t>
      </w:r>
      <w:r w:rsidRPr="00D72B9C">
        <w:rPr>
          <w:spacing w:val="-4"/>
        </w:rPr>
        <w:t xml:space="preserve">yazılı </w:t>
      </w:r>
      <w:r w:rsidR="00BE6053" w:rsidRPr="00D72B9C">
        <w:rPr>
          <w:spacing w:val="-4"/>
        </w:rPr>
        <w:t>şar</w:t>
      </w:r>
      <w:r w:rsidRPr="00D72B9C">
        <w:rPr>
          <w:spacing w:val="-4"/>
        </w:rPr>
        <w:t xml:space="preserve">tlara haiz olmaları </w:t>
      </w:r>
      <w:r w:rsidR="007F780B" w:rsidRPr="00D72B9C">
        <w:rPr>
          <w:spacing w:val="-4"/>
        </w:rPr>
        <w:t>gereklidir.</w:t>
      </w:r>
      <w:r>
        <w:rPr>
          <w:spacing w:val="-5"/>
        </w:rPr>
        <w:t xml:space="preserve"> </w:t>
      </w:r>
    </w:p>
    <w:p w:rsidR="00EF7718" w:rsidRPr="00D72B9C" w:rsidRDefault="00B00A24">
      <w:pPr>
        <w:pStyle w:val="GvdeMetni"/>
        <w:spacing w:before="9" w:line="220" w:lineRule="auto"/>
        <w:ind w:left="167" w:right="63" w:firstLine="685"/>
        <w:rPr>
          <w:spacing w:val="-4"/>
        </w:rPr>
      </w:pPr>
      <w:r w:rsidRPr="00E0534C">
        <w:rPr>
          <w:b/>
        </w:rPr>
        <w:t>MADDE 3-</w:t>
      </w:r>
      <w:r>
        <w:rPr>
          <w:spacing w:val="-5"/>
        </w:rPr>
        <w:t xml:space="preserve"> </w:t>
      </w:r>
      <w:r w:rsidR="007F780B" w:rsidRPr="00D72B9C">
        <w:rPr>
          <w:spacing w:val="-4"/>
        </w:rPr>
        <w:t xml:space="preserve">Atık </w:t>
      </w:r>
      <w:proofErr w:type="gramStart"/>
      <w:r w:rsidR="007F780B" w:rsidRPr="00D72B9C">
        <w:rPr>
          <w:spacing w:val="-4"/>
        </w:rPr>
        <w:t>Kağıt</w:t>
      </w:r>
      <w:proofErr w:type="gramEnd"/>
      <w:r w:rsidR="007F780B" w:rsidRPr="00D72B9C">
        <w:rPr>
          <w:spacing w:val="-4"/>
        </w:rPr>
        <w:t xml:space="preserve"> Toplama Lisansı olanlar ihaleye katılabilir. Talipliler tasdikli </w:t>
      </w:r>
      <w:proofErr w:type="gramStart"/>
      <w:r w:rsidR="007F780B" w:rsidRPr="00D72B9C">
        <w:rPr>
          <w:spacing w:val="-4"/>
        </w:rPr>
        <w:t>vekaletnameye</w:t>
      </w:r>
      <w:proofErr w:type="gramEnd"/>
      <w:r w:rsidR="007F780B" w:rsidRPr="00D72B9C">
        <w:rPr>
          <w:spacing w:val="-4"/>
        </w:rPr>
        <w:t xml:space="preserve"> haiz bir vekil marifetiyle de ihaleye iştirak </w:t>
      </w:r>
      <w:r w:rsidR="007F780B">
        <w:rPr>
          <w:spacing w:val="-4"/>
        </w:rPr>
        <w:t>edebilirler. Bu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 xml:space="preserve">takdirde </w:t>
      </w:r>
      <w:proofErr w:type="gramStart"/>
      <w:r w:rsidR="007F780B">
        <w:rPr>
          <w:spacing w:val="-4"/>
        </w:rPr>
        <w:t>vekaletnamenin</w:t>
      </w:r>
      <w:proofErr w:type="gramEnd"/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tasdikli bir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sureti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ihale dosyasına konulmak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üzere komisyona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verilecektir.</w:t>
      </w:r>
    </w:p>
    <w:p w:rsidR="00EF7718" w:rsidRDefault="00B00A24">
      <w:pPr>
        <w:pStyle w:val="GvdeMetni"/>
        <w:spacing w:before="9" w:line="228" w:lineRule="auto"/>
        <w:ind w:left="163" w:right="66" w:firstLine="690"/>
      </w:pPr>
      <w:r w:rsidRPr="00E0534C">
        <w:rPr>
          <w:b/>
        </w:rPr>
        <w:t>MADDE 4-</w:t>
      </w:r>
      <w:r>
        <w:rPr>
          <w:spacing w:val="-3"/>
        </w:rPr>
        <w:t xml:space="preserve"> </w:t>
      </w:r>
      <w:r w:rsidRPr="00D72B9C">
        <w:rPr>
          <w:spacing w:val="-4"/>
        </w:rPr>
        <w:t xml:space="preserve">Kat’i ihalesi İta Amirinin onayına bağlı işlerde bu makamın tasdik veya ret hakkındaki son emri ihale </w:t>
      </w:r>
      <w:r>
        <w:rPr>
          <w:spacing w:val="-4"/>
        </w:rPr>
        <w:t>tarihinden</w:t>
      </w:r>
      <w:r w:rsidRPr="00D72B9C">
        <w:rPr>
          <w:spacing w:val="-4"/>
        </w:rPr>
        <w:t xml:space="preserve"> </w:t>
      </w:r>
      <w:r>
        <w:rPr>
          <w:spacing w:val="-4"/>
        </w:rPr>
        <w:t>itibaren nihayet</w:t>
      </w:r>
      <w:r w:rsidR="00A872B7">
        <w:rPr>
          <w:spacing w:val="-4"/>
        </w:rPr>
        <w:t xml:space="preserve"> </w:t>
      </w:r>
      <w:r>
        <w:rPr>
          <w:spacing w:val="-4"/>
        </w:rPr>
        <w:t xml:space="preserve"> “5” gün</w:t>
      </w:r>
      <w:r w:rsidRPr="00D72B9C">
        <w:rPr>
          <w:spacing w:val="-4"/>
        </w:rPr>
        <w:t xml:space="preserve"> </w:t>
      </w:r>
      <w:r>
        <w:rPr>
          <w:spacing w:val="-4"/>
        </w:rPr>
        <w:t xml:space="preserve">içinde </w:t>
      </w:r>
      <w:proofErr w:type="spellStart"/>
      <w:r w:rsidR="00A872B7">
        <w:rPr>
          <w:spacing w:val="-4"/>
        </w:rPr>
        <w:t>İSTEKLİ’</w:t>
      </w:r>
      <w:r>
        <w:rPr>
          <w:spacing w:val="-4"/>
        </w:rPr>
        <w:t>ye</w:t>
      </w:r>
      <w:proofErr w:type="spellEnd"/>
      <w:r>
        <w:rPr>
          <w:spacing w:val="-4"/>
        </w:rPr>
        <w:t xml:space="preserve"> tebliğ</w:t>
      </w:r>
      <w:r w:rsidRPr="00D72B9C">
        <w:rPr>
          <w:spacing w:val="-4"/>
        </w:rPr>
        <w:t xml:space="preserve"> </w:t>
      </w:r>
      <w:r>
        <w:rPr>
          <w:spacing w:val="-4"/>
        </w:rPr>
        <w:t>olunacak ve</w:t>
      </w:r>
      <w:r w:rsidRPr="00D72B9C">
        <w:rPr>
          <w:spacing w:val="-4"/>
        </w:rPr>
        <w:t xml:space="preserve"> </w:t>
      </w:r>
      <w:r w:rsidR="00A872B7">
        <w:rPr>
          <w:spacing w:val="-4"/>
        </w:rPr>
        <w:t>İSTEKLİ</w:t>
      </w:r>
      <w:r>
        <w:rPr>
          <w:spacing w:val="-4"/>
        </w:rPr>
        <w:t xml:space="preserve"> bu</w:t>
      </w:r>
      <w:r w:rsidRPr="00D72B9C">
        <w:rPr>
          <w:spacing w:val="-4"/>
        </w:rPr>
        <w:t xml:space="preserve"> </w:t>
      </w:r>
      <w:r>
        <w:rPr>
          <w:spacing w:val="-4"/>
        </w:rPr>
        <w:t>m</w:t>
      </w:r>
      <w:r w:rsidR="00BE6053">
        <w:rPr>
          <w:spacing w:val="-4"/>
        </w:rPr>
        <w:t>ü</w:t>
      </w:r>
      <w:r>
        <w:rPr>
          <w:spacing w:val="-4"/>
        </w:rPr>
        <w:t>ddet içinde</w:t>
      </w:r>
      <w:r w:rsidRPr="00D72B9C">
        <w:rPr>
          <w:spacing w:val="-4"/>
        </w:rPr>
        <w:t xml:space="preserve"> </w:t>
      </w:r>
      <w:r w:rsidR="00BE6053">
        <w:rPr>
          <w:spacing w:val="-4"/>
        </w:rPr>
        <w:t>teklifi</w:t>
      </w:r>
      <w:r>
        <w:rPr>
          <w:spacing w:val="-4"/>
        </w:rPr>
        <w:t>nden dönemeyecektir.</w:t>
      </w:r>
    </w:p>
    <w:p w:rsidR="00EF7718" w:rsidRPr="00D72B9C" w:rsidRDefault="00B00A24">
      <w:pPr>
        <w:pStyle w:val="GvdeMetni"/>
        <w:spacing w:before="1" w:line="223" w:lineRule="auto"/>
        <w:ind w:left="158" w:right="83" w:firstLine="690"/>
        <w:rPr>
          <w:spacing w:val="-4"/>
        </w:rPr>
      </w:pPr>
      <w:r w:rsidRPr="00E0534C">
        <w:rPr>
          <w:b/>
        </w:rPr>
        <w:t>MADDE</w:t>
      </w:r>
      <w:r w:rsidRPr="00E0534C">
        <w:rPr>
          <w:b/>
          <w:spacing w:val="-14"/>
        </w:rPr>
        <w:t xml:space="preserve"> </w:t>
      </w:r>
      <w:r w:rsidRPr="00E0534C">
        <w:rPr>
          <w:b/>
        </w:rPr>
        <w:t>5-</w:t>
      </w:r>
      <w:r>
        <w:rPr>
          <w:spacing w:val="-2"/>
        </w:rPr>
        <w:t xml:space="preserve"> </w:t>
      </w:r>
      <w:r w:rsidRPr="00D72B9C">
        <w:rPr>
          <w:spacing w:val="-4"/>
        </w:rPr>
        <w:t>2886 sayılı sayılı kanunun 33 üncü maddesi gereğince bu kanunda yazılı haller dışında zam veya indirim teklifleri kabul edilemez.</w:t>
      </w:r>
    </w:p>
    <w:p w:rsidR="00EF7718" w:rsidRPr="00D72B9C" w:rsidRDefault="00B00A24">
      <w:pPr>
        <w:pStyle w:val="GvdeMetni"/>
        <w:spacing w:before="11" w:line="218" w:lineRule="auto"/>
        <w:ind w:left="153" w:right="79" w:firstLine="694"/>
        <w:rPr>
          <w:spacing w:val="-4"/>
        </w:rPr>
      </w:pPr>
      <w:r w:rsidRPr="00E0534C">
        <w:rPr>
          <w:b/>
          <w:spacing w:val="-4"/>
        </w:rPr>
        <w:t>MADDE 6-</w:t>
      </w:r>
      <w:r w:rsidRPr="00D72B9C">
        <w:rPr>
          <w:spacing w:val="-4"/>
        </w:rPr>
        <w:t xml:space="preserve"> İhalesi yapılan mal bulunduğu ye</w:t>
      </w:r>
      <w:r w:rsidR="00BE6053" w:rsidRPr="00D72B9C">
        <w:rPr>
          <w:spacing w:val="-4"/>
        </w:rPr>
        <w:t>r</w:t>
      </w:r>
      <w:r w:rsidRPr="00D72B9C">
        <w:rPr>
          <w:spacing w:val="-4"/>
        </w:rPr>
        <w:t xml:space="preserve">de </w:t>
      </w:r>
      <w:r w:rsidR="00BE6053" w:rsidRPr="00D72B9C">
        <w:rPr>
          <w:spacing w:val="-4"/>
        </w:rPr>
        <w:t>7.</w:t>
      </w:r>
      <w:r w:rsidRPr="00D72B9C">
        <w:rPr>
          <w:spacing w:val="-4"/>
        </w:rPr>
        <w:t xml:space="preserve"> maddesinde yazılı</w:t>
      </w:r>
      <w:r>
        <w:rPr>
          <w:spacing w:val="-4"/>
        </w:rPr>
        <w:t xml:space="preserve"> </w:t>
      </w:r>
      <w:r w:rsidRPr="00D72B9C">
        <w:rPr>
          <w:spacing w:val="-4"/>
        </w:rPr>
        <w:t>tazminat ve masraflar tamamen ödendikten sonra teslim</w:t>
      </w:r>
      <w:r>
        <w:rPr>
          <w:spacing w:val="-4"/>
        </w:rPr>
        <w:t xml:space="preserve"> </w:t>
      </w:r>
      <w:r w:rsidRPr="00D72B9C">
        <w:rPr>
          <w:spacing w:val="-4"/>
        </w:rPr>
        <w:t>edilir.</w:t>
      </w:r>
    </w:p>
    <w:p w:rsidR="00EF7718" w:rsidRPr="00BE6053" w:rsidRDefault="00B00A24">
      <w:pPr>
        <w:pStyle w:val="GvdeMetni"/>
        <w:spacing w:before="10" w:line="225" w:lineRule="auto"/>
        <w:ind w:left="148" w:right="60" w:firstLine="704"/>
        <w:rPr>
          <w:spacing w:val="-4"/>
        </w:rPr>
      </w:pPr>
      <w:r w:rsidRPr="00E0534C">
        <w:rPr>
          <w:b/>
          <w:spacing w:val="-4"/>
        </w:rPr>
        <w:t>MADDE 7-</w:t>
      </w:r>
      <w:r w:rsidRPr="00D72B9C">
        <w:rPr>
          <w:spacing w:val="-4"/>
        </w:rPr>
        <w:t xml:space="preserve"> </w:t>
      </w:r>
      <w:r w:rsidR="00A872B7">
        <w:rPr>
          <w:spacing w:val="-4"/>
        </w:rPr>
        <w:t>İSTEKLİ</w:t>
      </w:r>
      <w:r w:rsidRPr="00BE6053">
        <w:rPr>
          <w:spacing w:val="-4"/>
        </w:rPr>
        <w:t xml:space="preserve"> ihale bedelini ödediği tarihten (şayet teslim için gün tayin edilmiş ise o günden) itibaren 10 </w:t>
      </w:r>
      <w:r w:rsidR="00BE6053" w:rsidRPr="00BE6053">
        <w:rPr>
          <w:spacing w:val="-4"/>
        </w:rPr>
        <w:t>gü</w:t>
      </w:r>
      <w:r w:rsidRPr="00BE6053">
        <w:rPr>
          <w:spacing w:val="-4"/>
        </w:rPr>
        <w:t>n içinde satın aldığı malı teslim alıp kald</w:t>
      </w:r>
      <w:r w:rsidR="00BE6053" w:rsidRPr="00BE6053">
        <w:rPr>
          <w:spacing w:val="-4"/>
        </w:rPr>
        <w:t>ır</w:t>
      </w:r>
      <w:r w:rsidRPr="00BE6053">
        <w:rPr>
          <w:spacing w:val="-4"/>
        </w:rPr>
        <w:t xml:space="preserve">acaktır. Aksi takdirde bu tarihten itibaren geçecek her gün içinde ihale bedelinin </w:t>
      </w:r>
      <w:r w:rsidR="00BE6053" w:rsidRPr="00BE6053">
        <w:rPr>
          <w:spacing w:val="-4"/>
        </w:rPr>
        <w:t xml:space="preserve">% </w:t>
      </w:r>
      <w:r w:rsidRPr="00BE6053">
        <w:rPr>
          <w:spacing w:val="-4"/>
        </w:rPr>
        <w:t xml:space="preserve">2,5 nispetinde tazminat ödeyecek olup ayrıca satılan malın muhafaza ve bakımı hususunda çıkacak masrafları ödemeye mecburdur. Bu suretle </w:t>
      </w:r>
      <w:r w:rsidR="00BE6053">
        <w:rPr>
          <w:spacing w:val="-4"/>
        </w:rPr>
        <w:t>“</w:t>
      </w:r>
      <w:r>
        <w:rPr>
          <w:spacing w:val="-4"/>
        </w:rPr>
        <w:t>5” gün beklenildiği</w:t>
      </w:r>
      <w:r w:rsidRPr="00BE6053">
        <w:rPr>
          <w:spacing w:val="-4"/>
        </w:rPr>
        <w:t xml:space="preserve"> </w:t>
      </w:r>
      <w:r>
        <w:rPr>
          <w:spacing w:val="-4"/>
        </w:rPr>
        <w:t>halde</w:t>
      </w:r>
      <w:r w:rsidRPr="00BE6053">
        <w:rPr>
          <w:spacing w:val="-4"/>
        </w:rPr>
        <w:t xml:space="preserve"> </w:t>
      </w:r>
      <w:r>
        <w:rPr>
          <w:spacing w:val="-4"/>
        </w:rPr>
        <w:t>tesellüm</w:t>
      </w:r>
      <w:r w:rsidRPr="00BE6053">
        <w:rPr>
          <w:spacing w:val="-4"/>
        </w:rPr>
        <w:t xml:space="preserve"> </w:t>
      </w:r>
      <w:r>
        <w:rPr>
          <w:spacing w:val="-4"/>
        </w:rPr>
        <w:t>edilip kaldırılmayan</w:t>
      </w:r>
      <w:r w:rsidRPr="00BE6053">
        <w:rPr>
          <w:spacing w:val="-4"/>
        </w:rPr>
        <w:t xml:space="preserve"> </w:t>
      </w:r>
      <w:r>
        <w:rPr>
          <w:spacing w:val="-4"/>
        </w:rPr>
        <w:t>mallar hakkında genel</w:t>
      </w:r>
      <w:r w:rsidRPr="00BE6053">
        <w:rPr>
          <w:spacing w:val="-4"/>
        </w:rPr>
        <w:t xml:space="preserve"> </w:t>
      </w:r>
      <w:r w:rsidR="00BE6053">
        <w:rPr>
          <w:spacing w:val="-4"/>
        </w:rPr>
        <w:t>hükü</w:t>
      </w:r>
      <w:r>
        <w:rPr>
          <w:spacing w:val="-4"/>
        </w:rPr>
        <w:t>mler tatbik olunur.</w:t>
      </w:r>
    </w:p>
    <w:p w:rsidR="00EF7718" w:rsidRPr="00D72B9C" w:rsidRDefault="00B00A24">
      <w:pPr>
        <w:pStyle w:val="GvdeMetni"/>
        <w:spacing w:before="14" w:line="213" w:lineRule="auto"/>
        <w:ind w:left="149" w:right="63" w:firstLine="699"/>
        <w:rPr>
          <w:spacing w:val="-4"/>
        </w:rPr>
      </w:pPr>
      <w:r w:rsidRPr="00E0534C">
        <w:rPr>
          <w:b/>
          <w:spacing w:val="-4"/>
        </w:rPr>
        <w:t>MADDE 8-</w:t>
      </w:r>
      <w:r w:rsidRPr="00D72B9C">
        <w:rPr>
          <w:spacing w:val="-4"/>
        </w:rPr>
        <w:t xml:space="preserve"> </w:t>
      </w:r>
      <w:r>
        <w:rPr>
          <w:spacing w:val="-4"/>
        </w:rPr>
        <w:t>İhale</w:t>
      </w:r>
      <w:r w:rsidRPr="00D72B9C">
        <w:rPr>
          <w:spacing w:val="-4"/>
        </w:rPr>
        <w:t xml:space="preserve"> </w:t>
      </w:r>
      <w:r>
        <w:rPr>
          <w:spacing w:val="-4"/>
        </w:rPr>
        <w:t>bedelinin</w:t>
      </w:r>
      <w:r w:rsidRPr="00D72B9C">
        <w:rPr>
          <w:spacing w:val="-4"/>
        </w:rPr>
        <w:t xml:space="preserve"> </w:t>
      </w:r>
      <w:r>
        <w:rPr>
          <w:spacing w:val="-4"/>
        </w:rPr>
        <w:t>ödenmesinden</w:t>
      </w:r>
      <w:r w:rsidRPr="00D72B9C">
        <w:rPr>
          <w:spacing w:val="-4"/>
        </w:rPr>
        <w:t xml:space="preserve"> </w:t>
      </w:r>
      <w:r>
        <w:rPr>
          <w:spacing w:val="-4"/>
        </w:rPr>
        <w:t>sonra</w:t>
      </w:r>
      <w:r w:rsidRPr="00D72B9C">
        <w:rPr>
          <w:spacing w:val="-4"/>
        </w:rPr>
        <w:t xml:space="preserve"> </w:t>
      </w:r>
      <w:r>
        <w:rPr>
          <w:spacing w:val="-4"/>
        </w:rPr>
        <w:t>malın</w:t>
      </w:r>
      <w:r w:rsidRPr="00D72B9C">
        <w:rPr>
          <w:spacing w:val="-4"/>
        </w:rPr>
        <w:t xml:space="preserve"> </w:t>
      </w:r>
      <w:r>
        <w:rPr>
          <w:spacing w:val="-4"/>
        </w:rPr>
        <w:t>kısmen</w:t>
      </w:r>
      <w:r w:rsidRPr="00D72B9C">
        <w:rPr>
          <w:spacing w:val="-4"/>
        </w:rPr>
        <w:t xml:space="preserve"> </w:t>
      </w:r>
      <w:r>
        <w:rPr>
          <w:spacing w:val="-4"/>
        </w:rPr>
        <w:t>veya</w:t>
      </w:r>
      <w:r w:rsidRPr="00D72B9C">
        <w:rPr>
          <w:spacing w:val="-4"/>
        </w:rPr>
        <w:t xml:space="preserve"> </w:t>
      </w:r>
      <w:r>
        <w:rPr>
          <w:spacing w:val="-4"/>
        </w:rPr>
        <w:t>tamamen</w:t>
      </w:r>
      <w:r w:rsidRPr="00D72B9C">
        <w:rPr>
          <w:spacing w:val="-4"/>
        </w:rPr>
        <w:t xml:space="preserve"> </w:t>
      </w:r>
      <w:r>
        <w:rPr>
          <w:spacing w:val="-4"/>
        </w:rPr>
        <w:t>teslim</w:t>
      </w:r>
      <w:r w:rsidRPr="00D72B9C">
        <w:rPr>
          <w:spacing w:val="-4"/>
        </w:rPr>
        <w:t xml:space="preserve"> </w:t>
      </w:r>
      <w:r w:rsidR="00BE6053">
        <w:rPr>
          <w:spacing w:val="-4"/>
        </w:rPr>
        <w:t>edilmem</w:t>
      </w:r>
      <w:r>
        <w:rPr>
          <w:spacing w:val="-4"/>
        </w:rPr>
        <w:t>esi</w:t>
      </w:r>
      <w:r w:rsidRPr="00D72B9C">
        <w:rPr>
          <w:spacing w:val="-4"/>
        </w:rPr>
        <w:t xml:space="preserve"> </w:t>
      </w:r>
      <w:r>
        <w:rPr>
          <w:spacing w:val="-4"/>
        </w:rPr>
        <w:t>halinde</w:t>
      </w:r>
      <w:r w:rsidRPr="00D72B9C">
        <w:rPr>
          <w:spacing w:val="-4"/>
        </w:rPr>
        <w:t xml:space="preserve"> </w:t>
      </w:r>
      <w:r>
        <w:rPr>
          <w:spacing w:val="-4"/>
        </w:rPr>
        <w:t>tazminat</w:t>
      </w:r>
      <w:r w:rsidRPr="00D72B9C">
        <w:rPr>
          <w:spacing w:val="-4"/>
        </w:rPr>
        <w:t xml:space="preserve"> </w:t>
      </w:r>
      <w:r>
        <w:rPr>
          <w:spacing w:val="-4"/>
        </w:rPr>
        <w:t xml:space="preserve">vesaire </w:t>
      </w:r>
      <w:r w:rsidRPr="00D72B9C">
        <w:rPr>
          <w:spacing w:val="-4"/>
        </w:rPr>
        <w:t xml:space="preserve">iddiası </w:t>
      </w:r>
      <w:r w:rsidR="00BE6053" w:rsidRPr="00D72B9C">
        <w:rPr>
          <w:spacing w:val="-4"/>
        </w:rPr>
        <w:t>geçer</w:t>
      </w:r>
      <w:r w:rsidRPr="00D72B9C">
        <w:rPr>
          <w:spacing w:val="-4"/>
        </w:rPr>
        <w:t>li olamaz.</w:t>
      </w:r>
    </w:p>
    <w:p w:rsidR="00EF7718" w:rsidRPr="00D72B9C" w:rsidRDefault="00B00A24">
      <w:pPr>
        <w:pStyle w:val="GvdeMetni"/>
        <w:spacing w:before="19" w:line="223" w:lineRule="auto"/>
        <w:ind w:left="144" w:right="60" w:firstLine="704"/>
        <w:rPr>
          <w:spacing w:val="-4"/>
        </w:rPr>
      </w:pPr>
      <w:r w:rsidRPr="00E0534C">
        <w:rPr>
          <w:b/>
          <w:spacing w:val="-4"/>
        </w:rPr>
        <w:t>MADDE 9-</w:t>
      </w:r>
      <w:r w:rsidRPr="00D72B9C">
        <w:rPr>
          <w:spacing w:val="-4"/>
        </w:rPr>
        <w:t xml:space="preserve"> İhaleye girenler satılığa çıkarılan malı yerinde görmüş ve ona göre malın tamamı </w:t>
      </w:r>
      <w:r w:rsidR="00BE6053" w:rsidRPr="00D72B9C">
        <w:rPr>
          <w:spacing w:val="-4"/>
        </w:rPr>
        <w:t>için görüldü</w:t>
      </w:r>
      <w:r w:rsidRPr="00D72B9C">
        <w:rPr>
          <w:spacing w:val="-4"/>
        </w:rPr>
        <w:t xml:space="preserve">ğü şekliyle fiyat </w:t>
      </w:r>
      <w:r>
        <w:rPr>
          <w:spacing w:val="-4"/>
        </w:rPr>
        <w:t>teklif</w:t>
      </w:r>
      <w:r w:rsidRPr="00D72B9C">
        <w:rPr>
          <w:spacing w:val="-4"/>
        </w:rPr>
        <w:t xml:space="preserve"> </w:t>
      </w:r>
      <w:r>
        <w:rPr>
          <w:spacing w:val="-4"/>
        </w:rPr>
        <w:t>etmiş</w:t>
      </w:r>
      <w:r w:rsidRPr="00D72B9C">
        <w:rPr>
          <w:spacing w:val="-4"/>
        </w:rPr>
        <w:t xml:space="preserve"> </w:t>
      </w:r>
      <w:r>
        <w:rPr>
          <w:spacing w:val="-4"/>
        </w:rPr>
        <w:t>sayılacakları</w:t>
      </w:r>
      <w:r w:rsidRPr="00D72B9C">
        <w:rPr>
          <w:spacing w:val="-4"/>
        </w:rPr>
        <w:t xml:space="preserve"> </w:t>
      </w:r>
      <w:r>
        <w:rPr>
          <w:spacing w:val="-4"/>
        </w:rPr>
        <w:t>için malın evvelce mevcut kusurlarından</w:t>
      </w:r>
      <w:r w:rsidRPr="00D72B9C">
        <w:rPr>
          <w:spacing w:val="-4"/>
        </w:rPr>
        <w:t xml:space="preserve"> </w:t>
      </w:r>
      <w:r>
        <w:rPr>
          <w:spacing w:val="-4"/>
        </w:rPr>
        <w:t>dolayı</w:t>
      </w:r>
      <w:r w:rsidRPr="00D72B9C">
        <w:rPr>
          <w:spacing w:val="-4"/>
        </w:rPr>
        <w:t xml:space="preserve"> </w:t>
      </w:r>
      <w:r>
        <w:rPr>
          <w:spacing w:val="-4"/>
        </w:rPr>
        <w:t>hiçbir mesuliyet kabul edilmez.</w:t>
      </w:r>
    </w:p>
    <w:p w:rsidR="00EF7718" w:rsidRPr="00D72B9C" w:rsidRDefault="00B00A24">
      <w:pPr>
        <w:pStyle w:val="GvdeMetni"/>
        <w:spacing w:before="10" w:line="218" w:lineRule="auto"/>
        <w:ind w:left="149" w:right="59" w:firstLine="694"/>
        <w:rPr>
          <w:spacing w:val="-4"/>
        </w:rPr>
      </w:pPr>
      <w:r w:rsidRPr="00E0534C">
        <w:rPr>
          <w:b/>
          <w:spacing w:val="-4"/>
        </w:rPr>
        <w:t>MADDE 10-</w:t>
      </w:r>
      <w:r w:rsidRPr="00D72B9C">
        <w:rPr>
          <w:spacing w:val="-4"/>
        </w:rPr>
        <w:t xml:space="preserve"> İhale bedeli tebliğ tarihinden </w:t>
      </w:r>
      <w:r w:rsidR="00BE6053" w:rsidRPr="00D72B9C">
        <w:rPr>
          <w:spacing w:val="-4"/>
        </w:rPr>
        <w:t>tartıma müteakip aynı gün</w:t>
      </w:r>
      <w:r w:rsidRPr="00D72B9C">
        <w:rPr>
          <w:spacing w:val="-4"/>
        </w:rPr>
        <w:t xml:space="preserve"> içerisinde peşin olarak ödenecek olup, </w:t>
      </w:r>
      <w:proofErr w:type="spellStart"/>
      <w:r w:rsidR="00A872B7">
        <w:rPr>
          <w:spacing w:val="-4"/>
        </w:rPr>
        <w:t>İSTEKLİ’</w:t>
      </w:r>
      <w:r w:rsidRPr="00D72B9C">
        <w:rPr>
          <w:spacing w:val="-4"/>
        </w:rPr>
        <w:t>nin</w:t>
      </w:r>
      <w:proofErr w:type="spellEnd"/>
      <w:r w:rsidRPr="00D72B9C">
        <w:rPr>
          <w:spacing w:val="-4"/>
        </w:rPr>
        <w:t xml:space="preserve"> </w:t>
      </w:r>
      <w:r w:rsidR="00BE6053" w:rsidRPr="00D72B9C">
        <w:rPr>
          <w:spacing w:val="-4"/>
        </w:rPr>
        <w:t>süresi</w:t>
      </w:r>
      <w:r w:rsidRPr="00D72B9C">
        <w:rPr>
          <w:spacing w:val="-4"/>
        </w:rPr>
        <w:t xml:space="preserve"> içerisinde taşınır malları teslim </w:t>
      </w:r>
      <w:r w:rsidR="00BE6053" w:rsidRPr="00D72B9C">
        <w:rPr>
          <w:spacing w:val="-4"/>
        </w:rPr>
        <w:t>alm</w:t>
      </w:r>
      <w:r w:rsidRPr="00D72B9C">
        <w:rPr>
          <w:spacing w:val="-4"/>
        </w:rPr>
        <w:t>aması halinde ise kanunun 59. Maddesi gereği tatbik edilir.</w:t>
      </w:r>
    </w:p>
    <w:p w:rsidR="00EF7718" w:rsidRPr="00D72B9C" w:rsidRDefault="00B00A24" w:rsidP="007F780B">
      <w:pPr>
        <w:pStyle w:val="GvdeMetni"/>
        <w:spacing w:line="228" w:lineRule="auto"/>
        <w:ind w:left="139" w:right="72" w:firstLine="703"/>
        <w:rPr>
          <w:spacing w:val="-4"/>
        </w:rPr>
      </w:pPr>
      <w:r w:rsidRPr="00E0534C">
        <w:rPr>
          <w:b/>
          <w:spacing w:val="-4"/>
        </w:rPr>
        <w:t>MADDE 11-</w:t>
      </w:r>
      <w:r>
        <w:rPr>
          <w:spacing w:val="-4"/>
        </w:rPr>
        <w:t xml:space="preserve"> </w:t>
      </w:r>
      <w:r w:rsidR="007F780B">
        <w:rPr>
          <w:spacing w:val="-4"/>
        </w:rPr>
        <w:t>Teslim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tesellüm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ve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nakil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masraflarıyla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sair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biçimle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masraf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ve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ihale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bedeli üzerinden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hesaplanacak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 xml:space="preserve">giderler </w:t>
      </w:r>
      <w:proofErr w:type="spellStart"/>
      <w:r w:rsidR="00A872B7">
        <w:rPr>
          <w:spacing w:val="-4"/>
        </w:rPr>
        <w:t>İSTEKLİ’</w:t>
      </w:r>
      <w:r w:rsidR="007F780B" w:rsidRPr="00D72B9C">
        <w:rPr>
          <w:spacing w:val="-4"/>
        </w:rPr>
        <w:t>ye</w:t>
      </w:r>
      <w:proofErr w:type="spellEnd"/>
      <w:r w:rsidR="007F780B" w:rsidRPr="00D72B9C">
        <w:rPr>
          <w:spacing w:val="-4"/>
        </w:rPr>
        <w:t xml:space="preserve"> aittir.</w:t>
      </w:r>
    </w:p>
    <w:p w:rsidR="00EF7718" w:rsidRPr="00D72B9C" w:rsidRDefault="00B00A24">
      <w:pPr>
        <w:pStyle w:val="GvdeMetni"/>
        <w:spacing w:before="10" w:line="218" w:lineRule="auto"/>
        <w:ind w:left="139" w:firstLine="703"/>
        <w:jc w:val="left"/>
        <w:rPr>
          <w:spacing w:val="-4"/>
        </w:rPr>
      </w:pPr>
      <w:r w:rsidRPr="00E0534C">
        <w:rPr>
          <w:b/>
          <w:spacing w:val="-4"/>
        </w:rPr>
        <w:t>MADDE 12-</w:t>
      </w:r>
      <w:r w:rsidRPr="00D72B9C">
        <w:rPr>
          <w:spacing w:val="-4"/>
        </w:rPr>
        <w:t xml:space="preserve"> </w:t>
      </w:r>
      <w:r w:rsidR="007F780B">
        <w:rPr>
          <w:spacing w:val="-4"/>
        </w:rPr>
        <w:t>Satışa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konu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mallar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alıcısına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mevcut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hali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ile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teslim</w:t>
      </w:r>
      <w:r w:rsidR="007F780B" w:rsidRPr="00D72B9C">
        <w:rPr>
          <w:spacing w:val="-4"/>
        </w:rPr>
        <w:t xml:space="preserve"> </w:t>
      </w:r>
      <w:r w:rsidR="007F780B">
        <w:rPr>
          <w:spacing w:val="-4"/>
        </w:rPr>
        <w:t>edilecektir.</w:t>
      </w:r>
    </w:p>
    <w:p w:rsidR="00EF7718" w:rsidRPr="00D72B9C" w:rsidRDefault="00B00A24" w:rsidP="00BE6053">
      <w:pPr>
        <w:pStyle w:val="GvdeMetni"/>
        <w:spacing w:line="229" w:lineRule="exact"/>
        <w:ind w:left="843"/>
        <w:jc w:val="left"/>
        <w:rPr>
          <w:spacing w:val="-4"/>
        </w:rPr>
      </w:pPr>
      <w:r w:rsidRPr="00E0534C">
        <w:rPr>
          <w:b/>
          <w:spacing w:val="-4"/>
        </w:rPr>
        <w:t>MADDE 13-</w:t>
      </w:r>
      <w:r w:rsidRPr="00D72B9C">
        <w:rPr>
          <w:spacing w:val="-4"/>
        </w:rPr>
        <w:t xml:space="preserve"> </w:t>
      </w:r>
      <w:r w:rsidR="007F780B" w:rsidRPr="00D72B9C">
        <w:rPr>
          <w:spacing w:val="-4"/>
        </w:rPr>
        <w:t>Taşınır Mallar ihale bedeli üzerinden satılacaktır.</w:t>
      </w:r>
    </w:p>
    <w:p w:rsidR="00D72B9C" w:rsidRDefault="00B00A24">
      <w:pPr>
        <w:pStyle w:val="GvdeMetni"/>
        <w:spacing w:before="9" w:line="228" w:lineRule="auto"/>
        <w:ind w:left="839" w:right="2647"/>
        <w:jc w:val="left"/>
        <w:rPr>
          <w:spacing w:val="-4"/>
        </w:rPr>
      </w:pPr>
      <w:r w:rsidRPr="00E0534C">
        <w:rPr>
          <w:b/>
          <w:spacing w:val="-4"/>
        </w:rPr>
        <w:t>MADDE 14-</w:t>
      </w:r>
      <w:r w:rsidRPr="00D72B9C">
        <w:rPr>
          <w:spacing w:val="-4"/>
        </w:rPr>
        <w:t xml:space="preserve"> Komisyon ihaleyi yapıp yapmamakta ve uygun</w:t>
      </w:r>
      <w:r>
        <w:rPr>
          <w:spacing w:val="-4"/>
        </w:rPr>
        <w:t xml:space="preserve"> </w:t>
      </w:r>
      <w:r w:rsidRPr="00D72B9C">
        <w:rPr>
          <w:spacing w:val="-4"/>
        </w:rPr>
        <w:t xml:space="preserve">bedeli tespitte serbesttir. </w:t>
      </w:r>
      <w:r w:rsidRPr="00E0534C">
        <w:rPr>
          <w:b/>
          <w:spacing w:val="-4"/>
        </w:rPr>
        <w:t>MADDE 15-</w:t>
      </w:r>
      <w:r w:rsidRPr="00D72B9C">
        <w:rPr>
          <w:spacing w:val="-4"/>
        </w:rPr>
        <w:t xml:space="preserve"> </w:t>
      </w:r>
      <w:r>
        <w:rPr>
          <w:spacing w:val="-4"/>
        </w:rPr>
        <w:t>İhaleye</w:t>
      </w:r>
      <w:r w:rsidRPr="00D72B9C">
        <w:rPr>
          <w:spacing w:val="-4"/>
        </w:rPr>
        <w:t xml:space="preserve"> </w:t>
      </w:r>
      <w:r>
        <w:rPr>
          <w:spacing w:val="-4"/>
        </w:rPr>
        <w:t>katılacaklar</w:t>
      </w:r>
      <w:r w:rsidRPr="00D72B9C">
        <w:rPr>
          <w:spacing w:val="-4"/>
        </w:rPr>
        <w:t xml:space="preserve"> </w:t>
      </w:r>
      <w:r w:rsidR="00BE6053">
        <w:rPr>
          <w:spacing w:val="-4"/>
        </w:rPr>
        <w:t>Tü</w:t>
      </w:r>
      <w:r>
        <w:rPr>
          <w:spacing w:val="-4"/>
        </w:rPr>
        <w:t>rkiye’de</w:t>
      </w:r>
      <w:r w:rsidRPr="00D72B9C">
        <w:rPr>
          <w:spacing w:val="-4"/>
        </w:rPr>
        <w:t xml:space="preserve"> </w:t>
      </w:r>
      <w:r>
        <w:rPr>
          <w:spacing w:val="-4"/>
        </w:rPr>
        <w:t>tebligat</w:t>
      </w:r>
      <w:r w:rsidRPr="00D72B9C">
        <w:rPr>
          <w:spacing w:val="-4"/>
        </w:rPr>
        <w:t xml:space="preserve"> </w:t>
      </w:r>
      <w:r w:rsidR="00A872B7">
        <w:rPr>
          <w:spacing w:val="-4"/>
        </w:rPr>
        <w:t>adresi</w:t>
      </w:r>
      <w:r w:rsidRPr="00D72B9C">
        <w:rPr>
          <w:spacing w:val="-4"/>
        </w:rPr>
        <w:t xml:space="preserve"> </w:t>
      </w:r>
      <w:r>
        <w:rPr>
          <w:spacing w:val="-4"/>
        </w:rPr>
        <w:t>göstermek</w:t>
      </w:r>
      <w:r w:rsidRPr="00D72B9C">
        <w:rPr>
          <w:spacing w:val="-4"/>
        </w:rPr>
        <w:t xml:space="preserve"> </w:t>
      </w:r>
      <w:r w:rsidR="00A872B7">
        <w:rPr>
          <w:spacing w:val="-4"/>
        </w:rPr>
        <w:t>z</w:t>
      </w:r>
      <w:bookmarkStart w:id="0" w:name="_GoBack"/>
      <w:bookmarkEnd w:id="0"/>
      <w:r>
        <w:rPr>
          <w:spacing w:val="-4"/>
        </w:rPr>
        <w:t xml:space="preserve">orundadırlar. </w:t>
      </w:r>
    </w:p>
    <w:p w:rsidR="00EF7718" w:rsidRPr="00D72B9C" w:rsidRDefault="00B00A24">
      <w:pPr>
        <w:pStyle w:val="GvdeMetni"/>
        <w:spacing w:before="9" w:line="228" w:lineRule="auto"/>
        <w:ind w:left="839" w:right="2647"/>
        <w:jc w:val="left"/>
        <w:rPr>
          <w:spacing w:val="-4"/>
        </w:rPr>
      </w:pPr>
      <w:r w:rsidRPr="00E0534C">
        <w:rPr>
          <w:b/>
          <w:spacing w:val="-4"/>
        </w:rPr>
        <w:t>MADDE 16-</w:t>
      </w:r>
      <w:r w:rsidRPr="00D72B9C">
        <w:rPr>
          <w:spacing w:val="-4"/>
        </w:rPr>
        <w:t xml:space="preserve"> </w:t>
      </w:r>
      <w:r>
        <w:rPr>
          <w:spacing w:val="-4"/>
        </w:rPr>
        <w:t>İhtilafların çözüm</w:t>
      </w:r>
      <w:r w:rsidRPr="00D72B9C">
        <w:rPr>
          <w:spacing w:val="-4"/>
        </w:rPr>
        <w:t xml:space="preserve"> </w:t>
      </w:r>
      <w:r>
        <w:rPr>
          <w:spacing w:val="-4"/>
        </w:rPr>
        <w:t xml:space="preserve">yeri </w:t>
      </w:r>
      <w:r w:rsidR="00A872B7">
        <w:rPr>
          <w:spacing w:val="-4"/>
        </w:rPr>
        <w:t xml:space="preserve">Kırıkkale </w:t>
      </w:r>
      <w:r>
        <w:rPr>
          <w:spacing w:val="-4"/>
        </w:rPr>
        <w:t>Mahkemeleri</w:t>
      </w:r>
      <w:r w:rsidRPr="00D72B9C">
        <w:rPr>
          <w:spacing w:val="-4"/>
        </w:rPr>
        <w:t xml:space="preserve"> </w:t>
      </w:r>
      <w:r>
        <w:rPr>
          <w:spacing w:val="-4"/>
        </w:rPr>
        <w:t>ve</w:t>
      </w:r>
      <w:r w:rsidRPr="00D72B9C">
        <w:rPr>
          <w:spacing w:val="-4"/>
        </w:rPr>
        <w:t xml:space="preserve"> </w:t>
      </w:r>
      <w:r>
        <w:rPr>
          <w:spacing w:val="-4"/>
        </w:rPr>
        <w:t xml:space="preserve">İcra Daireleridir. </w:t>
      </w:r>
    </w:p>
    <w:p w:rsidR="00EF7718" w:rsidRDefault="00EF7718" w:rsidP="007F780B">
      <w:pPr>
        <w:pStyle w:val="GvdeMetni"/>
        <w:spacing w:before="0" w:line="231" w:lineRule="exact"/>
        <w:jc w:val="left"/>
      </w:pPr>
    </w:p>
    <w:p w:rsidR="00EF7718" w:rsidRPr="00E0534C" w:rsidRDefault="00B00A24">
      <w:pPr>
        <w:pStyle w:val="GvdeMetni"/>
        <w:spacing w:before="219"/>
        <w:ind w:left="833"/>
        <w:jc w:val="left"/>
        <w:rPr>
          <w:b/>
        </w:rPr>
      </w:pPr>
      <w:r w:rsidRPr="00E0534C">
        <w:rPr>
          <w:b/>
          <w:spacing w:val="-6"/>
          <w:u w:val="single" w:color="232323"/>
        </w:rPr>
        <w:t>Bu</w:t>
      </w:r>
      <w:r w:rsidRPr="00E0534C">
        <w:rPr>
          <w:b/>
          <w:spacing w:val="-5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Şartnamedeki</w:t>
      </w:r>
      <w:r w:rsidRPr="00E0534C">
        <w:rPr>
          <w:b/>
          <w:spacing w:val="14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yazılı</w:t>
      </w:r>
      <w:r w:rsidRPr="00E0534C">
        <w:rPr>
          <w:b/>
          <w:spacing w:val="1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hususları</w:t>
      </w:r>
      <w:r w:rsidRPr="00E0534C">
        <w:rPr>
          <w:b/>
          <w:spacing w:val="7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oldu</w:t>
      </w:r>
      <w:r w:rsidR="00D72B9C" w:rsidRPr="00E0534C">
        <w:rPr>
          <w:b/>
          <w:spacing w:val="-6"/>
          <w:u w:val="single" w:color="232323"/>
        </w:rPr>
        <w:t>ğ</w:t>
      </w:r>
      <w:r w:rsidRPr="00E0534C">
        <w:rPr>
          <w:b/>
          <w:spacing w:val="-6"/>
          <w:u w:val="single" w:color="232323"/>
        </w:rPr>
        <w:t>u</w:t>
      </w:r>
      <w:r w:rsidRPr="00E0534C">
        <w:rPr>
          <w:b/>
          <w:spacing w:val="2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gibi</w:t>
      </w:r>
      <w:r w:rsidRPr="00E0534C">
        <w:rPr>
          <w:b/>
          <w:spacing w:val="-4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kabul</w:t>
      </w:r>
      <w:r w:rsidRPr="00E0534C">
        <w:rPr>
          <w:b/>
          <w:spacing w:val="4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ve</w:t>
      </w:r>
      <w:r w:rsidRPr="00E0534C">
        <w:rPr>
          <w:b/>
          <w:spacing w:val="-7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taahhüt</w:t>
      </w:r>
      <w:r w:rsidRPr="00E0534C">
        <w:rPr>
          <w:b/>
          <w:spacing w:val="-2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ederim.</w:t>
      </w:r>
      <w:r w:rsidRPr="00E0534C">
        <w:rPr>
          <w:b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Her</w:t>
      </w:r>
      <w:r w:rsidRPr="00E0534C">
        <w:rPr>
          <w:b/>
          <w:spacing w:val="-2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çeşit</w:t>
      </w:r>
      <w:r w:rsidRPr="00E0534C">
        <w:rPr>
          <w:b/>
          <w:spacing w:val="-5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tebligat</w:t>
      </w:r>
      <w:r w:rsidRPr="00E0534C">
        <w:rPr>
          <w:b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aşağıdaki</w:t>
      </w:r>
      <w:r w:rsidRPr="00E0534C">
        <w:rPr>
          <w:b/>
          <w:spacing w:val="10"/>
          <w:u w:val="single" w:color="232323"/>
        </w:rPr>
        <w:t xml:space="preserve"> </w:t>
      </w:r>
      <w:r w:rsidR="007F780B" w:rsidRPr="00E0534C">
        <w:rPr>
          <w:b/>
          <w:spacing w:val="-6"/>
          <w:u w:val="single" w:color="232323"/>
        </w:rPr>
        <w:t>ad</w:t>
      </w:r>
      <w:r w:rsidRPr="00E0534C">
        <w:rPr>
          <w:b/>
          <w:spacing w:val="-6"/>
          <w:u w:val="single" w:color="232323"/>
        </w:rPr>
        <w:t>resime</w:t>
      </w:r>
      <w:r w:rsidRPr="00E0534C">
        <w:rPr>
          <w:b/>
          <w:spacing w:val="3"/>
          <w:u w:val="single" w:color="232323"/>
        </w:rPr>
        <w:t xml:space="preserve"> </w:t>
      </w:r>
      <w:r w:rsidRPr="00E0534C">
        <w:rPr>
          <w:b/>
          <w:spacing w:val="-6"/>
          <w:u w:val="single" w:color="232323"/>
        </w:rPr>
        <w:t>yapılabilir.</w:t>
      </w:r>
    </w:p>
    <w:p w:rsidR="00EF7718" w:rsidRDefault="00A872B7">
      <w:pPr>
        <w:spacing w:before="162"/>
        <w:ind w:left="127"/>
        <w:rPr>
          <w:sz w:val="21"/>
        </w:rPr>
      </w:pPr>
      <w:proofErr w:type="gramStart"/>
      <w:r>
        <w:rPr>
          <w:b/>
          <w:sz w:val="21"/>
        </w:rPr>
        <w:t>İSTEKLİ</w:t>
      </w:r>
      <w:r w:rsidR="00B00A24">
        <w:rPr>
          <w:b/>
          <w:sz w:val="21"/>
        </w:rPr>
        <w:t>NİN</w:t>
      </w:r>
      <w:r w:rsidR="00B00A24">
        <w:rPr>
          <w:b/>
          <w:spacing w:val="69"/>
          <w:w w:val="150"/>
          <w:sz w:val="21"/>
        </w:rPr>
        <w:t xml:space="preserve"> </w:t>
      </w:r>
      <w:r w:rsidR="00B00A24">
        <w:rPr>
          <w:spacing w:val="-10"/>
          <w:sz w:val="21"/>
        </w:rPr>
        <w:t>:</w:t>
      </w:r>
      <w:proofErr w:type="gramEnd"/>
    </w:p>
    <w:p w:rsidR="00EF7718" w:rsidRDefault="00EF7718">
      <w:pPr>
        <w:pStyle w:val="GvdeMetni"/>
        <w:spacing w:before="2" w:after="1"/>
        <w:jc w:val="left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3691"/>
        <w:gridCol w:w="6763"/>
      </w:tblGrid>
      <w:tr w:rsidR="00EF7718">
        <w:trPr>
          <w:trHeight w:val="776"/>
        </w:trPr>
        <w:tc>
          <w:tcPr>
            <w:tcW w:w="3691" w:type="dxa"/>
          </w:tcPr>
          <w:p w:rsidR="00EF7718" w:rsidRDefault="00B00A24">
            <w:pPr>
              <w:pStyle w:val="TableParagraph"/>
              <w:spacing w:line="237" w:lineRule="exact"/>
              <w:ind w:left="125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Soyadı</w:t>
            </w:r>
          </w:p>
          <w:p w:rsidR="00EF7718" w:rsidRDefault="00B00A24">
            <w:pPr>
              <w:pStyle w:val="TableParagraph"/>
              <w:spacing w:before="17"/>
              <w:ind w:left="118"/>
              <w:rPr>
                <w:sz w:val="21"/>
              </w:rPr>
            </w:pPr>
            <w:r>
              <w:rPr>
                <w:sz w:val="21"/>
              </w:rPr>
              <w:t>(Tüzel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Kişilerde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Unvan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Yetkilinin)</w:t>
            </w:r>
          </w:p>
        </w:tc>
        <w:tc>
          <w:tcPr>
            <w:tcW w:w="6763" w:type="dxa"/>
          </w:tcPr>
          <w:p w:rsidR="00EF7718" w:rsidRDefault="00EF7718">
            <w:pPr>
              <w:pStyle w:val="TableParagraph"/>
              <w:spacing w:before="5"/>
              <w:ind w:left="0"/>
              <w:rPr>
                <w:sz w:val="2"/>
              </w:rPr>
            </w:pPr>
          </w:p>
          <w:p w:rsidR="00EF7718" w:rsidRDefault="00B00A24">
            <w:pPr>
              <w:pStyle w:val="TableParagraph"/>
              <w:tabs>
                <w:tab w:val="left" w:pos="3760"/>
              </w:tabs>
              <w:ind w:left="631"/>
              <w:rPr>
                <w:position w:val="1"/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EF7718">
        <w:trPr>
          <w:trHeight w:val="1007"/>
        </w:trPr>
        <w:tc>
          <w:tcPr>
            <w:tcW w:w="3691" w:type="dxa"/>
          </w:tcPr>
          <w:p w:rsidR="00EF7718" w:rsidRDefault="00B00A24">
            <w:pPr>
              <w:pStyle w:val="TableParagraph"/>
              <w:spacing w:line="217" w:lineRule="exact"/>
              <w:ind w:left="115"/>
              <w:rPr>
                <w:sz w:val="23"/>
              </w:rPr>
            </w:pPr>
            <w:r>
              <w:rPr>
                <w:spacing w:val="-2"/>
                <w:position w:val="1"/>
                <w:sz w:val="23"/>
              </w:rPr>
              <w:t>T</w:t>
            </w:r>
            <w:proofErr w:type="spellStart"/>
            <w:r w:rsidR="00D72B9C">
              <w:rPr>
                <w:spacing w:val="-2"/>
                <w:sz w:val="23"/>
              </w:rPr>
              <w:t>ebligat</w:t>
            </w:r>
            <w:proofErr w:type="spellEnd"/>
            <w:r>
              <w:rPr>
                <w:spacing w:val="-1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Adresi</w:t>
            </w:r>
            <w:r w:rsidR="00D72B9C">
              <w:rPr>
                <w:spacing w:val="-2"/>
                <w:sz w:val="23"/>
              </w:rPr>
              <w:t>:</w:t>
            </w:r>
          </w:p>
        </w:tc>
        <w:tc>
          <w:tcPr>
            <w:tcW w:w="6763" w:type="dxa"/>
          </w:tcPr>
          <w:p w:rsidR="00EF7718" w:rsidRDefault="00EF7718">
            <w:pPr>
              <w:pStyle w:val="TableParagraph"/>
              <w:spacing w:before="7"/>
              <w:ind w:left="0"/>
              <w:rPr>
                <w:sz w:val="6"/>
              </w:rPr>
            </w:pPr>
          </w:p>
          <w:p w:rsidR="00EF7718" w:rsidRDefault="00EF7718">
            <w:pPr>
              <w:pStyle w:val="TableParagraph"/>
              <w:ind w:left="136"/>
              <w:rPr>
                <w:sz w:val="20"/>
              </w:rPr>
            </w:pPr>
          </w:p>
        </w:tc>
      </w:tr>
      <w:tr w:rsidR="00EF7718">
        <w:trPr>
          <w:trHeight w:val="236"/>
        </w:trPr>
        <w:tc>
          <w:tcPr>
            <w:tcW w:w="3691" w:type="dxa"/>
          </w:tcPr>
          <w:p w:rsidR="00EF7718" w:rsidRPr="00BE7F67" w:rsidRDefault="00B00A24">
            <w:pPr>
              <w:pStyle w:val="TableParagraph"/>
              <w:tabs>
                <w:tab w:val="left" w:pos="870"/>
              </w:tabs>
              <w:spacing w:line="194" w:lineRule="exact"/>
              <w:ind w:left="35"/>
              <w:rPr>
                <w:sz w:val="21"/>
              </w:rPr>
            </w:pPr>
            <w:r w:rsidRPr="00BE7F67">
              <w:rPr>
                <w:spacing w:val="22"/>
                <w:sz w:val="21"/>
              </w:rPr>
              <w:t xml:space="preserve"> </w:t>
            </w:r>
            <w:r w:rsidRPr="00BE7F67">
              <w:rPr>
                <w:spacing w:val="-4"/>
                <w:sz w:val="21"/>
              </w:rPr>
              <w:t>Tarih</w:t>
            </w:r>
            <w:r w:rsidRPr="00BE7F67">
              <w:rPr>
                <w:sz w:val="21"/>
              </w:rPr>
              <w:tab/>
            </w:r>
          </w:p>
        </w:tc>
        <w:tc>
          <w:tcPr>
            <w:tcW w:w="6763" w:type="dxa"/>
            <w:tcBorders>
              <w:bottom w:val="single" w:sz="12" w:space="0" w:color="232323"/>
            </w:tcBorders>
          </w:tcPr>
          <w:p w:rsidR="00EF7718" w:rsidRDefault="00B00A24" w:rsidP="005008FC">
            <w:pPr>
              <w:pStyle w:val="TableParagraph"/>
              <w:tabs>
                <w:tab w:val="left" w:pos="1394"/>
                <w:tab w:val="left" w:pos="5248"/>
              </w:tabs>
              <w:spacing w:line="217" w:lineRule="exact"/>
              <w:ind w:left="122"/>
              <w:rPr>
                <w:sz w:val="21"/>
              </w:rPr>
            </w:pPr>
            <w:r>
              <w:rPr>
                <w:sz w:val="21"/>
              </w:rPr>
              <w:tab/>
            </w:r>
          </w:p>
        </w:tc>
      </w:tr>
      <w:tr w:rsidR="00EF7718">
        <w:trPr>
          <w:trHeight w:val="524"/>
        </w:trPr>
        <w:tc>
          <w:tcPr>
            <w:tcW w:w="3691" w:type="dxa"/>
          </w:tcPr>
          <w:p w:rsidR="00EF7718" w:rsidRDefault="00BE7F67">
            <w:pPr>
              <w:pStyle w:val="TableParagraph"/>
              <w:spacing w:line="182" w:lineRule="exact"/>
              <w:ind w:left="107"/>
              <w:rPr>
                <w:sz w:val="21"/>
              </w:rPr>
            </w:pPr>
            <w:r>
              <w:rPr>
                <w:spacing w:val="-2"/>
                <w:sz w:val="21"/>
              </w:rPr>
              <w:t>İmzası</w:t>
            </w:r>
          </w:p>
        </w:tc>
        <w:tc>
          <w:tcPr>
            <w:tcW w:w="6763" w:type="dxa"/>
            <w:tcBorders>
              <w:top w:val="single" w:sz="12" w:space="0" w:color="232323"/>
            </w:tcBorders>
          </w:tcPr>
          <w:p w:rsidR="00EF7718" w:rsidRDefault="00B00A24">
            <w:pPr>
              <w:pStyle w:val="TableParagraph"/>
              <w:tabs>
                <w:tab w:val="left" w:pos="1595"/>
              </w:tabs>
              <w:ind w:left="112"/>
              <w:rPr>
                <w:position w:val="23"/>
                <w:sz w:val="20"/>
              </w:rPr>
            </w:pPr>
            <w:r>
              <w:rPr>
                <w:sz w:val="20"/>
              </w:rPr>
              <w:tab/>
            </w:r>
          </w:p>
        </w:tc>
      </w:tr>
    </w:tbl>
    <w:p w:rsidR="00B00A24" w:rsidRDefault="00B00A24"/>
    <w:sectPr w:rsidR="00B00A24">
      <w:type w:val="continuous"/>
      <w:pgSz w:w="11910" w:h="16840"/>
      <w:pgMar w:top="300" w:right="850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7718"/>
    <w:rsid w:val="00194651"/>
    <w:rsid w:val="005008FC"/>
    <w:rsid w:val="007F780B"/>
    <w:rsid w:val="00A872B7"/>
    <w:rsid w:val="00B00A24"/>
    <w:rsid w:val="00BE6053"/>
    <w:rsid w:val="00BE7F67"/>
    <w:rsid w:val="00D72B9C"/>
    <w:rsid w:val="00E0534C"/>
    <w:rsid w:val="00E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jc w:val="both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ind w:left="17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"/>
      <w:jc w:val="both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ind w:left="17"/>
      <w:jc w:val="center"/>
    </w:pPr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MuratSARIEL</dc:creator>
  <cp:lastModifiedBy>MuratSARIEL</cp:lastModifiedBy>
  <cp:revision>3</cp:revision>
  <dcterms:created xsi:type="dcterms:W3CDTF">2025-04-21T06:40:00Z</dcterms:created>
  <dcterms:modified xsi:type="dcterms:W3CDTF">2025-04-21T06:45:00Z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LastSaved">
    <vt:filetime>2025-04-17T00:00:00Z</vt:filetime>
  </property>
  <property fmtid="{D5CDD505-2E9C-101B-9397-08002B2CF9AE}" pid="4" name="Producer">
    <vt:lpwstr>iLovePDF</vt:lpwstr>
  </property>
</Properties>
</file>